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E5FE2D" w14:textId="77777777" w:rsidR="00FC6199" w:rsidRDefault="00FC6199" w:rsidP="0017655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TEKNİK ŞARTNAME</w:t>
      </w:r>
    </w:p>
    <w:p w14:paraId="6354B486" w14:textId="77777777" w:rsidR="00FC6199" w:rsidRDefault="00FC6199" w:rsidP="0017655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Sodyum hipoklorit-EDTA-Klorheksidin kullanıldıktan sonra alınacak olan mikrobiyolojik numuneler ile aynı solüsyonlar kullanılarak Pasif Ultrasonic İrrigasyon aktivasyon uygulanarak alınan mikrobiyolojik numunelerin karşılaştırılması yapılacaktır.</w:t>
      </w:r>
    </w:p>
    <w:p w14:paraId="439E7104" w14:textId="77777777" w:rsidR="00FC6199" w:rsidRDefault="00FC6199" w:rsidP="0017655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Sodyum hipoklorit-EDTA-Klorheksidin ile Sodyum hipoklorit-Etidronik Asit-Klorheksidin </w:t>
      </w:r>
      <w:r w:rsidR="00186301">
        <w:rPr>
          <w:rFonts w:ascii="Times New Roman" w:hAnsi="Times New Roman" w:cs="Times New Roman"/>
          <w:b/>
          <w:sz w:val="24"/>
          <w:szCs w:val="24"/>
        </w:rPr>
        <w:t xml:space="preserve"> solüsyonla</w:t>
      </w:r>
      <w:r>
        <w:rPr>
          <w:rFonts w:ascii="Times New Roman" w:hAnsi="Times New Roman" w:cs="Times New Roman"/>
          <w:b/>
          <w:sz w:val="24"/>
          <w:szCs w:val="24"/>
        </w:rPr>
        <w:t>rının kullanılması sonrasında alınacak olan örneklerin karşılaştırılması yapılacaktır.</w:t>
      </w:r>
    </w:p>
    <w:p w14:paraId="6FE09196" w14:textId="153E1FC1" w:rsidR="00234DA2" w:rsidRDefault="00234DA2" w:rsidP="0017655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Pasif Ultrasonik İrrigasyon aktivasyonu ile Sodyum hipoklorit-EDTA-Klorheksidin ile Sodyum hipoklorit-Etidronik Asit-Klorheksidin  solüsyonlarının kullanılması sonrasında alınacak olan örneklerin karşılaştırılması yapılacaktır.</w:t>
      </w:r>
    </w:p>
    <w:p w14:paraId="5BE5007B" w14:textId="7D582693" w:rsidR="00234DA2" w:rsidRPr="00234DA2" w:rsidRDefault="00234DA2" w:rsidP="0017655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Sodyum hipoklorit-</w:t>
      </w:r>
      <w:r w:rsidR="00AF591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Etidronik Asit-</w:t>
      </w:r>
      <w:r w:rsidR="00AF5911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Klorheksidin  solüsyonlarının kullanılması sonrası alınacak olan mikrobiyolojik numuneler ile aynı solüsyonlar kullanılarak Pasif Ultrasonic İrrigasyon aktivasyon uygulanarak alınan mikrobiyolojik numunelerin karşılaştırılması yapılacaktır.</w:t>
      </w:r>
    </w:p>
    <w:p w14:paraId="749054A1" w14:textId="77777777" w:rsidR="00234DA2" w:rsidRDefault="00234DA2" w:rsidP="0017655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Tanımlayıcı istatistik tabloları ve istatistiksel analiz bulgularını içeren tablolar verilecektir.</w:t>
      </w:r>
    </w:p>
    <w:p w14:paraId="3182650E" w14:textId="600B9F72" w:rsidR="00FC6199" w:rsidRDefault="00FC6199" w:rsidP="0017655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Her bir yapılacak olan parametrenin grafikleri çizilerek verilecektir.</w:t>
      </w:r>
    </w:p>
    <w:p w14:paraId="726BA618" w14:textId="1EC9B250" w:rsidR="00FC6199" w:rsidRDefault="00FC6199" w:rsidP="0017655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Kullanılacak analizler hakkında bilgi verilecektir.</w:t>
      </w:r>
    </w:p>
    <w:p w14:paraId="26CFE905" w14:textId="77777777" w:rsidR="00B12566" w:rsidRDefault="00B12566" w:rsidP="00176554">
      <w:pPr>
        <w:jc w:val="both"/>
      </w:pPr>
    </w:p>
    <w:sectPr w:rsidR="00B12566" w:rsidSect="00F7004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FA1171"/>
    <w:multiLevelType w:val="hybridMultilevel"/>
    <w:tmpl w:val="F73EB5C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199"/>
    <w:rsid w:val="00176554"/>
    <w:rsid w:val="00186301"/>
    <w:rsid w:val="00234DA2"/>
    <w:rsid w:val="00AF5911"/>
    <w:rsid w:val="00B12566"/>
    <w:rsid w:val="00F70046"/>
    <w:rsid w:val="00FC6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2578CF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6199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tr-T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6199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175</Words>
  <Characters>999</Characters>
  <Application>Microsoft Macintosh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pelin</dc:creator>
  <cp:keywords/>
  <dc:description/>
  <cp:lastModifiedBy>pelin</cp:lastModifiedBy>
  <cp:revision>5</cp:revision>
  <dcterms:created xsi:type="dcterms:W3CDTF">2019-07-08T14:10:00Z</dcterms:created>
  <dcterms:modified xsi:type="dcterms:W3CDTF">2019-07-08T14:24:00Z</dcterms:modified>
</cp:coreProperties>
</file>